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56" w:rsidRPr="00E34531" w:rsidRDefault="00AC6656" w:rsidP="00E34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31">
        <w:rPr>
          <w:rFonts w:ascii="Times New Roman" w:hAnsi="Times New Roman" w:cs="Times New Roman"/>
          <w:b/>
          <w:sz w:val="28"/>
          <w:szCs w:val="28"/>
        </w:rPr>
        <w:t>ДОКУМЕНТЫ, НЕОБХОДИМЫЕ ДЛЯ КАДАСТРОГО УЧЕТА И (ИЛИ) РЕГИСТРАЦИИ ПРАВ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В соответствии с частью 1 статьи 14 Федерального закона от 13.07.2015№ 218-ФЗ «О государственной регистрации недвижимости» (далее - Закон № 218-ФЗ) государственный кадастровый учет и (или) государственная регистрация прав осуществляются на основании заявления, за исключением установленных Законом № 218-ФЗ случаев, и документов, поступивших в орган регистрации</w:t>
      </w:r>
      <w:bookmarkStart w:id="0" w:name="_GoBack"/>
      <w:bookmarkEnd w:id="0"/>
      <w:r w:rsidRPr="00AC6656">
        <w:rPr>
          <w:rFonts w:ascii="Times New Roman" w:hAnsi="Times New Roman" w:cs="Times New Roman"/>
          <w:sz w:val="28"/>
          <w:szCs w:val="28"/>
        </w:rPr>
        <w:t xml:space="preserve"> прав в установленном Законом  № 218-ФЗ порядке.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Форма заявления о государственном кадастровом учете недвижимого имущества и (или) государственной регистрации прав на недвижимое имущество (ссылка на форму) и требования к его заполнению, а также требования к формату такого заявления и представляемых с ним документов в электронной форме утверждены приказом Росреестра от 19.08.2020 № П/0310.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Порядок представления заявления и документов: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приказом Росреестра от 30.12.2020 № П/0509: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форме документов на бумажном носителе: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орган регистрации прав, к уполномоченному лицу органа регистрации прав при выездном приеме, через МФЦ;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 с объявленной ценностью при его пересылке, описью вложения и уведомлением о вручении;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центров, который опубликован на официальном сайте.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сделка с объектом недвижимости должна быть нотариально удостоверена;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права и обременение объекта недвижимости, совершена представителем, действующим на основании доверенности;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 заявлению о государственном кадастровом учете и (или) государственной регистрации прав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документы: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(если с заявлением обращается его представитель);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являющиеся основанием для осуществления государственного кадастрового учета и (или) государственной регистрации прав;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Законом № 218-ФЗ и принятыми в соответствии с ним иными нормативными правовыми актами.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Не допускается истребование у заявителя дополнительных документов, если представленные им документы отвечают требованиям статьи 21 Закона № 218-ФЗ и требованиям принятых в соответствии с Законом № 218-ФЗ нормативных правовых актов федеральных органов исполнительной власти, если иное не установлено Законом № 218-ФЗ или иными федеральными законами.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для осуществления государственного кадастрового учета и (или) государственной регистрации прав документы, которые в соответствии с Федеральным законом от 27.07.2010 № 210-ФЗ «Об организации предоставления государственных и муниципальных услуг» представляются в порядке межведомственного информационного взаимодействия.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При представлении заявления о государственном кадастровом учете и (или) государственной регистрации прав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 (В случае</w:t>
      </w:r>
      <w:proofErr w:type="gramStart"/>
      <w:r w:rsidRPr="00AC66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6656">
        <w:rPr>
          <w:rFonts w:ascii="Times New Roman" w:hAnsi="Times New Roman" w:cs="Times New Roman"/>
          <w:sz w:val="28"/>
          <w:szCs w:val="28"/>
        </w:rPr>
        <w:t xml:space="preserve">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требуется.)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прав взимается государственная пошлина в соответствии с Налоговым кодексом Российской Федерации (статья 17 Закона № 218-ФЗ).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При этом орган регистрации прав обязан возвратить заявление о государственном кадастровом учете и (или) государственной регистрации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прав и документы, прилагаемые к нему, без рассмотрения,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(статья 25 Закона № 218-ФЗ).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Основания для осуществления государственного кадастрового учета и (или) государственной регистрации прав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Закона № 218-ФЗ основаниями для осуществления государственного кадастрового учета и (или) государственной регистрации прав являются: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 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свидетельства о праве на наследство;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вступившие в законную силу судебные акты;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 решения третейских судов, по которым выданы исполнительные листы в соответствии с вступившими в законную силу судебными актами судов общей юрисдикции или арбитражных судов, вместе с такими исполнительными листами;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порядке карта-план территории, подготовленная в результате выполнения комплексных кадастровых работ;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наступление обстоятельств, указанных в федеральном законе.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Требования к документам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ЕГРН.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Указанные документы должны содержать описание недвижимого имущества и, если иное не установлено Законом № 218-ФЗ,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Тексты документов, представляемых для осуществления государственного кадастрового учета и (или) государственной регистрации прав в форме документов на бумажном носителе, должны быть написаны разборчиво, наименования юридических лиц - без сокращения с указанием их мест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нахождения. Фамилии, имена и при наличии отчества физических лиц, адреса их мест жительства должны быть написаны полностью.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Если представленные в форме документов на бумажном носителе заявление и документы имеют подчистки либо приписки, зачеркнутые слова и иные не оговоренные в них исправления, либо такие документы исполнены карандашом, имеют серьезные повреждения, которые не позволяют однозначно истолковать их содержание, то орган регистрации прав обязан возвратить такие заявление и документы, прилагаемые к нему, без рассмотрения.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государственной регистрации прав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а также 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имущество) представляются в экземпляре-подлиннике. Такие документы с отметкой об их переводе в форму электронного образа документа (за исключением случаев, установленных законом) возвращаются заявителю после завершения процедуры осуществления государственного кадастрового учета и (или) государственной регистрации прав вместе с иными подлежащими выдаче документами.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Межевой план, технический план, акт обследования, карта-план территории представляются в орган регистрации прав исключительно в форме электронных документов, подписанных усиленной квалифицированной электронной подписью кадастрового инженера.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 возвращается заявителю.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государственном кадастровом учете и (или) государственной регистрации прав в форме документа на бумажном носителе представляется в единственном экземпляре-подлиннике.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Если документы представляются для осуществления государственного кадастрового учета и (или) государственной регистрации прав в форме электронных документов, электронных образов документов такие документы представляются: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если Законом № 218-ФЗ предусмотрено, что такие документы при их представлении в форме документов на бумажном носителе должны быть представлены в подлиннике, в том числе если такие документы выражают содержание нотариально удостоверенной сделки;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в форме электронных документов или электронных образов документов (в том числе акты органов государственной власти, акты органов местного самоуправления, а также судебные акты, установившие права на недвижимое имущество).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осуществляется без взимания платы с заявителя. За осуществление государственной регистрации прав предусмотрена государственная пошлина.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соответствии с частью 1 статьи 16 Федерального закона от 13.07.2015 № 218-ФЗ «О государственной регистрации недвижимости» государственный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>кадастровый учет и (или) государственная регистрация прав осуществляются в течение следующих сроков (независимо от формы представления документов), если иное не установлено федеральным законом: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1) семь рабочих дней с даты приема органом регистрации прав заявления на осуществление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2) девять рабочих дней с даты приема в многофункциональном центре по предоставлению государственных и муниципальных услуг (далее - многофункциональный центр) заявления на осуществление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3)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4)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5)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6)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7) пять рабочих дней с даты поступления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8) три рабочих дня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снятии ареста или запрета, о возврате залога залогодателю или об обращении залога в доход государства;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9)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>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–  в течение одного рабочего дня, следующего за днем поступления соответствующих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10)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11)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12) семь рабочих дней с даты приема многофункциональным центром заявления на осуществление государственной регистрации ипотеки жилого помещения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7B638B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AC6656">
        <w:rPr>
          <w:rFonts w:ascii="Times New Roman" w:hAnsi="Times New Roman" w:cs="Times New Roman"/>
          <w:sz w:val="28"/>
          <w:szCs w:val="28"/>
        </w:rPr>
        <w:t xml:space="preserve"> на сайт Росреестра: https://rosreestr.gov.ru/activity/okazanie-gosudarstvennykh-uslug/kadastrovyy-uchet-i-ili-registratsiya-prav-/</w:t>
      </w:r>
    </w:p>
    <w:sectPr w:rsidR="007B638B" w:rsidRPr="00AC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56"/>
    <w:rsid w:val="00013EAA"/>
    <w:rsid w:val="0006400F"/>
    <w:rsid w:val="008D3A74"/>
    <w:rsid w:val="00AC6656"/>
    <w:rsid w:val="00E005ED"/>
    <w:rsid w:val="00E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Дарья Николаевна</dc:creator>
  <cp:lastModifiedBy>User</cp:lastModifiedBy>
  <cp:revision>4</cp:revision>
  <dcterms:created xsi:type="dcterms:W3CDTF">2022-03-22T03:22:00Z</dcterms:created>
  <dcterms:modified xsi:type="dcterms:W3CDTF">2023-11-01T07:16:00Z</dcterms:modified>
</cp:coreProperties>
</file>